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w:t>
      </w:r>
    </w:p>
    <w:p>
      <w:r>
        <w:t>Bundesgericht (BGE), 1977-01-21, DE</w:t>
      </w:r>
    </w:p>
    <w:p>
      <w:r>
        <w:rPr>
          <w:b/>
        </w:rPr>
        <w:t xml:space="preserve">Quelle: </w:t>
      </w:r>
      <w:r>
        <w:t>https://mcp.opencaselaw.ch/entscheid/bge_103 IV 1</w:t>
      </w:r>
    </w:p>
    <w:p>
      <w:r>
        <w:t>FR: ATF 103 IV 1</w:t>
      </w:r>
    </w:p>
    <w:p>
      <w:r>
        <w:t>IT: DTF 103 IV 1</w:t>
      </w:r>
    </w:p>
    <w:p>
      <w:pPr>
        <w:pStyle w:val="Heading2"/>
      </w:pPr>
      <w:r>
        <w:t>Regeste</w:t>
      </w:r>
    </w:p>
    <w:p>
      <w:r>
        <w:t>Regeste Art. 43 Ziff. 2 Abs. 2 StGB. Ambulante Behandlung. Als solche kommt nur eine vom Arzt oder unter ärztlicher Kontrolle durchgeführte Behandlung in Betracht, nicht hingegen eine bloss fürsorgerische Betreuung.</w:t>
      </w:r>
    </w:p>
    <w:p>
      <w:pPr>
        <w:pStyle w:val="Heading2"/>
      </w:pPr>
      <w:r>
        <w:t>Erwägungen</w:t>
      </w:r>
    </w:p>
    <w:p>
      <w:r>
        <w:rPr>
          <w:b/>
        </w:rPr>
        <w:t>E. 2</w:t>
      </w:r>
    </w:p>
    <w:p>
      <w:r>
        <w:t>Das Kriminalgericht hatte den Strafvollzug aufgeschoben und ambulante Behandlung angeordnet wegen der psychischen Konstitution des Angeklagten ( Art. 43 StGB ) sowie zur Vermeidung der Trunksucht ( Art. 44 StGB ). Das Obergericht führt aus, der Angeklagte habe sich seit der Alkoholentwöhnungskur im Frühling 1973 ohne Antabus-Tabletten gehalten; ambulante Behandlung wegen Trunksucht sei daher nicht nötig. Die Betreuung durch die Fürsorgestelle Aarau sei nicht eine ärztliche Behandlung für einen psychisch Kranken - eine solche habe der Gutachter für nicht notwendig erachtet - sondern eine fürsorgerische Betreuung, die dem Angeklagten umfassend beistehen und einen Rückfall verhindern solle. Nicht jede Hilfsmassnahme könne aber einen Aufschub des Vollzugs bewirken. Noch weniger als die ärztliche Behandlung dürfe eine fürsorgerische Betreuung Mittel sein, die Strafe zu umgehen. Der Beschwerdeführer macht zur Hauptsache geltend, die Entwöhnungskur sei bei einem schweren, chronischen Alkoholiker für sich allein noch keine abgeschlossene Massnahme. Hinzu komme eine längere intensive Betreuung durch eine erfahrene Fürsorgestelle. Es liege in der Natur der Sache, dass diese nach der Entlassung aus der Trinkerheilanstalt ambulant erfolge. Sie sei unabdingbarer Bestandteil der Massnahme. Mit diesem Einwand ist der Beschwerdeführer nicht zu hören. Er steht im Widerspruch zu der tatsächlichen und daher gemäss Art. 277bis Abs. 1 BStP für den Kassationshof verbindlichen Feststellung der Vorinstanz, dass sich der Beschwerdeführer seit der Entwöhnungskur im Frühling 1973 - also während 3 1/2 Jahren - sogar ohne die Einnahme von Antabus-Tabletten hat halten können. Von einer nicht abgeschlossenen Alkoholentwöhnung ist somit keine Rede. Sofern der Beschwerdeführer mit dem Hinweis auf seine BGE 103 IV 1 S. 3 Anfälligkeit für depressive Verstimmungen, in denen er suizidal werden könne, geltend machen will, die ambulante Betreuung durch die Fürsorgestelle Aarau sei auch wegen seinem psychischen Gesundheitszustand erforderlich, so ist zu sagen, dass Art. 43 StGB ausdrücklich nur von ärztlicher Behandlung spricht. Unter dieser ist, mag sie stationär oder ambulant durchgeführt werden, ausschliesslich die Behandlung durch einen Arzt oder unter der Aufsicht eines Arztes zu verstehen, nicht auch irgendwelche Betreuung durch eine Fürsorgestelle oder dergleichen. Eine ärztliche Behandlung als psychisch Kranker hat im übrigen nach der Feststellung der Vorinstanz der Gutachter für nicht notwendig erachtet. Auf das Vorbringen des Beschwerdeführers, laut der Fürsorgestelle Aarau wäre nicht nur die bereits erfolgreich abgeschlossene freiwillige Entwöhnungskur durch den Strafvollzug wiederum in Frage gestellt, sondern würde auch eine ambulante Behandlung in der Strafanstalt voraussichtlich nutzlos sein, kann nach dem Gesagten in diesem Verfahren nicht eingetreten werden, wohl aber auf das vom Beschwerdeführer in Aussicht genommene Begnadigungsgesuch.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